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5" w:rsidRDefault="00F022C5" w:rsidP="00AB6EB1">
      <w:pPr>
        <w:jc w:val="left"/>
      </w:pPr>
      <w:r>
        <w:t xml:space="preserve">Quantified Perception has done </w:t>
      </w:r>
      <w:r w:rsidR="00A50271">
        <w:t>a</w:t>
      </w:r>
      <w:r>
        <w:t xml:space="preserve"> semantic and text analysis on four DHS strategic planning documents, and some interesting features come to light.</w:t>
      </w:r>
    </w:p>
    <w:p w:rsidR="00A50271" w:rsidRDefault="00A50271" w:rsidP="00AB6EB1">
      <w:pPr>
        <w:jc w:val="left"/>
      </w:pPr>
    </w:p>
    <w:p w:rsidR="00A50271" w:rsidRDefault="00E43B94" w:rsidP="00AB6EB1">
      <w:pPr>
        <w:jc w:val="left"/>
      </w:pPr>
      <w:r>
        <w:t xml:space="preserve">While the single term “cyber” is used 95 times, “biological” follows closely with 86 occurrences. </w:t>
      </w:r>
      <w:r w:rsidR="00A50271">
        <w:t>DHS shows a prescient focus on biological threats that predates the Ebola focus of recent months, with “</w:t>
      </w:r>
      <w:r w:rsidR="00A50271" w:rsidRPr="00A50271">
        <w:t>biological threats</w:t>
      </w:r>
      <w:r w:rsidR="00A50271">
        <w:t xml:space="preserve">” used 31 times across the documents, while “cyber threats” is used only 12 times, despite the longer history </w:t>
      </w:r>
      <w:r>
        <w:t xml:space="preserve">and greater visibility </w:t>
      </w:r>
      <w:r w:rsidR="00A50271">
        <w:t xml:space="preserve">of cyber incursions. </w:t>
      </w:r>
      <w:r>
        <w:t>The table below shows the number of occurrences of the two terms in phrases across the target documents.</w:t>
      </w:r>
      <w:r w:rsidR="002803D6">
        <w:t xml:space="preserve"> </w:t>
      </w:r>
      <w:r w:rsidR="00B56E07">
        <w:t>Other “threat” terms are used slightly less frequently: nuclear terrorism (13); climate change (11); terrorism threat (9); and weapons of mass destruction (3).</w:t>
      </w:r>
    </w:p>
    <w:p w:rsidR="00E43B94" w:rsidRDefault="00E43B94" w:rsidP="00AB6EB1">
      <w:pPr>
        <w:jc w:val="left"/>
      </w:pPr>
    </w:p>
    <w:p w:rsidR="00E43B94" w:rsidRDefault="00E43B94" w:rsidP="00AB6EB1">
      <w:pPr>
        <w:jc w:val="left"/>
      </w:pPr>
    </w:p>
    <w:p w:rsidR="00A50271" w:rsidRDefault="000E7DE2" w:rsidP="00AB6EB1">
      <w:pPr>
        <w:jc w:val="left"/>
      </w:pPr>
      <w:r>
        <w:t>Table 1</w:t>
      </w:r>
    </w:p>
    <w:p w:rsidR="000E7DE2" w:rsidRDefault="000E7DE2" w:rsidP="00AB6EB1">
      <w:pPr>
        <w:jc w:val="left"/>
      </w:pPr>
    </w:p>
    <w:tbl>
      <w:tblPr>
        <w:tblW w:w="5880" w:type="dxa"/>
        <w:tblInd w:w="98" w:type="dxa"/>
        <w:tblLook w:val="04A0"/>
      </w:tblPr>
      <w:tblGrid>
        <w:gridCol w:w="3700"/>
        <w:gridCol w:w="1343"/>
        <w:gridCol w:w="837"/>
      </w:tblGrid>
      <w:tr w:rsidR="00E43B94" w:rsidRPr="00E43B94" w:rsidTr="002803D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43B94" w:rsidRPr="00E43B94" w:rsidRDefault="00E43B94" w:rsidP="00E43B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Phrase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43B94" w:rsidRPr="00E43B94" w:rsidRDefault="002803D6" w:rsidP="0088523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Occurrences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cyber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secure cyberspace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cyber threats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cyber incidents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safeguard and secure cyberspace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safeguarding and securing cyberspace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biological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b/>
                <w:bCs/>
                <w:color w:val="000000"/>
              </w:rPr>
              <w:t>biological threats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biological threats and hazards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biological incidents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priority biological threats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chemical biological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biological radiological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chemical biological radiological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biological radiological and nuclear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countering biological threats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use of chemical biological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biological incidents from occurring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43B94" w:rsidRPr="00E43B94" w:rsidTr="002803D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E43B94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risk of biological threats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4" w:rsidRPr="00E43B94" w:rsidRDefault="00E43B94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E43B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A50271" w:rsidRDefault="00A50271" w:rsidP="00AB6EB1">
      <w:pPr>
        <w:jc w:val="left"/>
      </w:pPr>
    </w:p>
    <w:p w:rsidR="00F022C5" w:rsidRDefault="00F022C5" w:rsidP="00AB6EB1">
      <w:pPr>
        <w:jc w:val="left"/>
      </w:pPr>
    </w:p>
    <w:p w:rsidR="005522CF" w:rsidRDefault="005522CF">
      <w:r>
        <w:br w:type="page"/>
      </w:r>
    </w:p>
    <w:p w:rsidR="005522CF" w:rsidRDefault="005522CF" w:rsidP="00AB6EB1">
      <w:pPr>
        <w:jc w:val="left"/>
      </w:pPr>
    </w:p>
    <w:p w:rsidR="007007EE" w:rsidRDefault="007007EE" w:rsidP="00AB6EB1">
      <w:pPr>
        <w:jc w:val="left"/>
      </w:pPr>
      <w:r>
        <w:t xml:space="preserve">One of the major topical areas is what </w:t>
      </w:r>
      <w:r w:rsidR="001A08E1">
        <w:t>we</w:t>
      </w:r>
      <w:r>
        <w:t xml:space="preserve"> have classified as “community and commerce.” Terms referring to citizens, community, and trade are </w:t>
      </w:r>
      <w:r w:rsidR="00B56E07">
        <w:t>represented</w:t>
      </w:r>
      <w:r>
        <w:t xml:space="preserve"> across the documents more heavily than might be expected of DHS. Cooperation and collaboration between different sectors of government and communities are a major theme of the reports.</w:t>
      </w:r>
      <w:r w:rsidR="00B56E07">
        <w:t xml:space="preserve"> Public-private partnerships, as well as other partner references, are prominent in the language. </w:t>
      </w:r>
    </w:p>
    <w:p w:rsidR="007007EE" w:rsidRDefault="007007EE" w:rsidP="00AB6EB1">
      <w:pPr>
        <w:jc w:val="left"/>
      </w:pPr>
      <w:r>
        <w:t>Table 2 shows the frequency of this terminology.</w:t>
      </w:r>
    </w:p>
    <w:p w:rsidR="007007EE" w:rsidRDefault="007007EE" w:rsidP="00AB6EB1">
      <w:pPr>
        <w:jc w:val="left"/>
      </w:pPr>
    </w:p>
    <w:tbl>
      <w:tblPr>
        <w:tblW w:w="8027" w:type="dxa"/>
        <w:tblInd w:w="98" w:type="dxa"/>
        <w:tblLook w:val="04A0"/>
      </w:tblPr>
      <w:tblGrid>
        <w:gridCol w:w="5920"/>
        <w:gridCol w:w="1343"/>
        <w:gridCol w:w="960"/>
      </w:tblGrid>
      <w:tr w:rsidR="005522CF" w:rsidRPr="005522CF" w:rsidTr="005522CF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Phrase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Occurrences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community(ies)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partners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private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public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local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people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private sector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people and goods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whole community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public private partnerships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territorial partners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public and private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trade and travel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public and private sector/s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security partners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partners and stakeholders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local leaders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faith based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government(al) and private sector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lawful trade and travel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community of practice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across the whole community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private sector and international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parts of the community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members of the public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individuals families and communities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assistance from neighboring jurisdictions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885236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7007EE" w:rsidRDefault="007007EE" w:rsidP="00AB6EB1">
      <w:pPr>
        <w:jc w:val="left"/>
      </w:pPr>
    </w:p>
    <w:p w:rsidR="005522CF" w:rsidRDefault="005522CF"/>
    <w:p w:rsidR="005522CF" w:rsidRDefault="005522CF">
      <w:r>
        <w:br w:type="page"/>
      </w:r>
    </w:p>
    <w:p w:rsidR="005522CF" w:rsidRDefault="005522CF" w:rsidP="00B56E07">
      <w:pPr>
        <w:jc w:val="left"/>
      </w:pPr>
      <w:r>
        <w:lastRenderedPageBreak/>
        <w:t>Terminology used less frequently than might be expected refers to the response phase</w:t>
      </w:r>
      <w:r w:rsidR="00B56E07">
        <w:t xml:space="preserve"> following an incident. While “first responders” and “public safety are prominent, other terms of response and recovery are relatively </w:t>
      </w:r>
      <w:r w:rsidR="00952808">
        <w:t>sparse</w:t>
      </w:r>
      <w:r w:rsidR="00B56E07">
        <w:t xml:space="preserve">. </w:t>
      </w:r>
    </w:p>
    <w:p w:rsidR="00B56E07" w:rsidRDefault="00B56E07" w:rsidP="00B56E07">
      <w:pPr>
        <w:jc w:val="left"/>
      </w:pPr>
      <w:r>
        <w:t xml:space="preserve">Table 3 </w:t>
      </w:r>
      <w:r w:rsidR="00952808">
        <w:t>displays those terms.</w:t>
      </w:r>
    </w:p>
    <w:p w:rsidR="00952808" w:rsidRDefault="00952808" w:rsidP="00B56E07">
      <w:pPr>
        <w:jc w:val="left"/>
      </w:pPr>
    </w:p>
    <w:p w:rsidR="005522CF" w:rsidRDefault="005522CF" w:rsidP="00B56E07">
      <w:pPr>
        <w:jc w:val="left"/>
      </w:pPr>
    </w:p>
    <w:tbl>
      <w:tblPr>
        <w:tblW w:w="8223" w:type="dxa"/>
        <w:tblInd w:w="98" w:type="dxa"/>
        <w:tblLook w:val="04A0"/>
      </w:tblPr>
      <w:tblGrid>
        <w:gridCol w:w="5920"/>
        <w:gridCol w:w="1343"/>
        <w:gridCol w:w="960"/>
      </w:tblGrid>
      <w:tr w:rsidR="005522CF" w:rsidRPr="005522CF" w:rsidTr="005522CF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F8602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Phrase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Occurrences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first responders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public safety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essential services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emergency support function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survivor centric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during and after disasters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social services recovery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national response framework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health and social services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actions of survivors bystanders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independent actions of survivors</w:t>
            </w:r>
          </w:p>
        </w:tc>
        <w:tc>
          <w:tcPr>
            <w:tcW w:w="134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5522CF" w:rsidRDefault="005522CF"/>
    <w:p w:rsidR="005522CF" w:rsidRDefault="005522CF" w:rsidP="005522CF">
      <w:pPr>
        <w:jc w:val="left"/>
      </w:pPr>
    </w:p>
    <w:p w:rsidR="00952808" w:rsidRDefault="00952808">
      <w:r>
        <w:br w:type="page"/>
      </w:r>
    </w:p>
    <w:p w:rsidR="005522CF" w:rsidRDefault="005522CF" w:rsidP="005522CF">
      <w:pPr>
        <w:jc w:val="left"/>
      </w:pPr>
    </w:p>
    <w:p w:rsidR="005522CF" w:rsidRDefault="005522CF" w:rsidP="005522CF">
      <w:pPr>
        <w:jc w:val="left"/>
      </w:pPr>
      <w:r>
        <w:t>A final area for consideration is th</w:t>
      </w:r>
      <w:r w:rsidR="00952808">
        <w:t>e planning and process language. True to the expectations of a government document, citizen support is prominent in the language.</w:t>
      </w:r>
    </w:p>
    <w:p w:rsidR="00952808" w:rsidRDefault="00952808" w:rsidP="005522CF">
      <w:pPr>
        <w:jc w:val="left"/>
      </w:pPr>
    </w:p>
    <w:p w:rsidR="00952808" w:rsidRDefault="00952808" w:rsidP="005522CF">
      <w:pPr>
        <w:jc w:val="left"/>
      </w:pPr>
      <w:r>
        <w:t>Table 3 shows this terminology.</w:t>
      </w:r>
    </w:p>
    <w:p w:rsidR="00952808" w:rsidRDefault="00952808" w:rsidP="005522CF">
      <w:pPr>
        <w:jc w:val="left"/>
      </w:pPr>
    </w:p>
    <w:p w:rsidR="005522CF" w:rsidRDefault="005522CF" w:rsidP="005522CF">
      <w:pPr>
        <w:jc w:val="left"/>
      </w:pPr>
    </w:p>
    <w:tbl>
      <w:tblPr>
        <w:tblW w:w="8223" w:type="dxa"/>
        <w:tblInd w:w="98" w:type="dxa"/>
        <w:tblLook w:val="04A0"/>
      </w:tblPr>
      <w:tblGrid>
        <w:gridCol w:w="5920"/>
        <w:gridCol w:w="1343"/>
        <w:gridCol w:w="960"/>
      </w:tblGrid>
      <w:tr w:rsidR="005522CF" w:rsidRPr="005522CF" w:rsidTr="005522CF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F8602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Phrase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Occurrences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services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resources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plan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national preparedness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decision making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information sharing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civil liberties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human services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cost effective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intellectual property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civil rights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advisory committee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owners and operators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critical infrastructure systems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infrastructure owners and operators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travel and trade systems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individual and collective readiness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incentivize and facilitate investments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522CF" w:rsidRPr="005522CF" w:rsidTr="005522C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financial stability and affordability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CF" w:rsidRPr="005522CF" w:rsidRDefault="005522CF" w:rsidP="00552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2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5522CF" w:rsidRDefault="005522CF" w:rsidP="005522CF">
      <w:pPr>
        <w:jc w:val="left"/>
      </w:pPr>
    </w:p>
    <w:p w:rsidR="005522CF" w:rsidRDefault="005522CF" w:rsidP="005522CF">
      <w:pPr>
        <w:jc w:val="left"/>
      </w:pPr>
    </w:p>
    <w:p w:rsidR="00F022C5" w:rsidRDefault="00F022C5">
      <w:r>
        <w:br w:type="page"/>
      </w:r>
    </w:p>
    <w:p w:rsidR="00F022C5" w:rsidRDefault="00F022C5" w:rsidP="00AB6EB1">
      <w:pPr>
        <w:jc w:val="left"/>
      </w:pPr>
      <w:r>
        <w:lastRenderedPageBreak/>
        <w:t xml:space="preserve">QPL uses our semantics analysis tool CopyRater and our Text Analysis Profiles (TAP) to examine the underlying structure and content of documents. In comparing words and phrases, a Fibonacci factor </w:t>
      </w:r>
      <w:r w:rsidR="001A08E1">
        <w:t>is used to normalize phrase length</w:t>
      </w:r>
      <w:r>
        <w:t xml:space="preserve">. That is, while a single word occurrence is counted by the number of repetitions, a two-word phrase is </w:t>
      </w:r>
      <w:r w:rsidR="00952808">
        <w:t>multiplied</w:t>
      </w:r>
      <w:r>
        <w:t xml:space="preserve"> by 2, and a three-word phrase is multiplied by 3+2, a four-word phrase by 4+3+2. This has been empirically shown to be a reasonable adjustment to account for the probability of longer word strings in comparison to shorter </w:t>
      </w:r>
      <w:r w:rsidR="00952808">
        <w:t>strings</w:t>
      </w:r>
      <w:r>
        <w:t xml:space="preserve">. </w:t>
      </w:r>
    </w:p>
    <w:p w:rsidR="00F022C5" w:rsidRDefault="00F022C5" w:rsidP="00AB6EB1">
      <w:pPr>
        <w:jc w:val="left"/>
      </w:pPr>
    </w:p>
    <w:p w:rsidR="00F022C5" w:rsidRDefault="00F022C5" w:rsidP="00AB6EB1">
      <w:pPr>
        <w:jc w:val="left"/>
      </w:pPr>
      <w:r>
        <w:t xml:space="preserve">The DHS documents used in this </w:t>
      </w:r>
      <w:r w:rsidR="00952808">
        <w:t>analysis</w:t>
      </w:r>
      <w:r>
        <w:t xml:space="preserve"> are:</w:t>
      </w:r>
    </w:p>
    <w:p w:rsidR="00F022C5" w:rsidRDefault="00F022C5" w:rsidP="00AB6EB1">
      <w:pPr>
        <w:jc w:val="left"/>
      </w:pPr>
    </w:p>
    <w:p w:rsidR="00952808" w:rsidRDefault="00952808" w:rsidP="00952808">
      <w:pPr>
        <w:pStyle w:val="ListParagraph"/>
        <w:numPr>
          <w:ilvl w:val="0"/>
          <w:numId w:val="2"/>
        </w:numPr>
        <w:jc w:val="left"/>
      </w:pPr>
      <w:r>
        <w:t>The 2014 Quadrennial Homeland Security Review</w:t>
      </w:r>
    </w:p>
    <w:p w:rsidR="00F022C5" w:rsidRDefault="00F022C5" w:rsidP="00952808">
      <w:pPr>
        <w:pStyle w:val="ListParagraph"/>
        <w:numPr>
          <w:ilvl w:val="0"/>
          <w:numId w:val="2"/>
        </w:numPr>
        <w:jc w:val="left"/>
      </w:pPr>
      <w:r>
        <w:t>FEMA Strategic Plan, 2014–2018</w:t>
      </w:r>
    </w:p>
    <w:p w:rsidR="00952808" w:rsidRDefault="00952808" w:rsidP="00952808">
      <w:pPr>
        <w:pStyle w:val="ListParagraph"/>
        <w:numPr>
          <w:ilvl w:val="0"/>
          <w:numId w:val="2"/>
        </w:numPr>
        <w:jc w:val="left"/>
      </w:pPr>
      <w:r>
        <w:t>Department of Homeland Security Strategic Plan, Fiscal Years 2012-2016</w:t>
      </w:r>
    </w:p>
    <w:p w:rsidR="00F022C5" w:rsidRDefault="00F022C5" w:rsidP="00952808">
      <w:pPr>
        <w:pStyle w:val="ListParagraph"/>
        <w:numPr>
          <w:ilvl w:val="0"/>
          <w:numId w:val="2"/>
        </w:numPr>
        <w:jc w:val="left"/>
      </w:pPr>
      <w:r>
        <w:t xml:space="preserve">DHS Science and Technology Directorate </w:t>
      </w:r>
      <w:r w:rsidR="00952808">
        <w:t xml:space="preserve">2011 </w:t>
      </w:r>
      <w:r>
        <w:t xml:space="preserve">Strategic Plan </w:t>
      </w:r>
    </w:p>
    <w:p w:rsidR="00F022C5" w:rsidRDefault="00F022C5" w:rsidP="00F022C5">
      <w:pPr>
        <w:jc w:val="left"/>
      </w:pPr>
    </w:p>
    <w:sectPr w:rsidR="00F022C5" w:rsidSect="00F9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DD7"/>
    <w:multiLevelType w:val="hybridMultilevel"/>
    <w:tmpl w:val="A1A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0DA6"/>
    <w:multiLevelType w:val="hybridMultilevel"/>
    <w:tmpl w:val="94A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022C5"/>
    <w:rsid w:val="000E7DE2"/>
    <w:rsid w:val="000F5632"/>
    <w:rsid w:val="00104E7C"/>
    <w:rsid w:val="001A08E1"/>
    <w:rsid w:val="001E0206"/>
    <w:rsid w:val="002741CD"/>
    <w:rsid w:val="002803D6"/>
    <w:rsid w:val="002A0AD2"/>
    <w:rsid w:val="002B11A7"/>
    <w:rsid w:val="00333C3C"/>
    <w:rsid w:val="0038765B"/>
    <w:rsid w:val="00486A8F"/>
    <w:rsid w:val="00513E42"/>
    <w:rsid w:val="005522CF"/>
    <w:rsid w:val="00645E58"/>
    <w:rsid w:val="00695086"/>
    <w:rsid w:val="00695BBA"/>
    <w:rsid w:val="007007EE"/>
    <w:rsid w:val="00725F82"/>
    <w:rsid w:val="00820743"/>
    <w:rsid w:val="00885236"/>
    <w:rsid w:val="008D58DF"/>
    <w:rsid w:val="00901DEA"/>
    <w:rsid w:val="00952808"/>
    <w:rsid w:val="00A15F30"/>
    <w:rsid w:val="00A222EE"/>
    <w:rsid w:val="00A22A8E"/>
    <w:rsid w:val="00A47F67"/>
    <w:rsid w:val="00A50271"/>
    <w:rsid w:val="00AB2CFD"/>
    <w:rsid w:val="00AB6EB1"/>
    <w:rsid w:val="00AD649B"/>
    <w:rsid w:val="00B27507"/>
    <w:rsid w:val="00B56E07"/>
    <w:rsid w:val="00C06ECC"/>
    <w:rsid w:val="00C57B8D"/>
    <w:rsid w:val="00D0161B"/>
    <w:rsid w:val="00E110CB"/>
    <w:rsid w:val="00E43B94"/>
    <w:rsid w:val="00EC5FCA"/>
    <w:rsid w:val="00F022C5"/>
    <w:rsid w:val="00F13386"/>
    <w:rsid w:val="00F171B9"/>
    <w:rsid w:val="00F46311"/>
    <w:rsid w:val="00F87D1B"/>
    <w:rsid w:val="00F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602D-BBED-4845-8F17-339BFB3D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796</Words>
  <Characters>4069</Characters>
  <Application>Microsoft Office Word</Application>
  <DocSecurity>0</DocSecurity>
  <Lines>339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Arnold</dc:creator>
  <cp:keywords/>
  <dc:description/>
  <cp:lastModifiedBy>Don Arnold</cp:lastModifiedBy>
  <cp:revision>3</cp:revision>
  <dcterms:created xsi:type="dcterms:W3CDTF">2014-10-09T19:45:00Z</dcterms:created>
  <dcterms:modified xsi:type="dcterms:W3CDTF">2014-10-09T19:46:00Z</dcterms:modified>
</cp:coreProperties>
</file>